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59" w:rsidRPr="008A220E" w:rsidRDefault="00484959" w:rsidP="00484959">
      <w:pPr>
        <w:spacing w:before="240" w:after="2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ANEXO B.1.1 Desglose de Fármacos e insumos para esterilización</w:t>
      </w:r>
    </w:p>
    <w:p w:rsidR="00484959" w:rsidRPr="008A220E" w:rsidRDefault="00484959" w:rsidP="00484959">
      <w:pPr>
        <w:spacing w:before="240" w:after="2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(OBLIGATORIO PARA </w:t>
      </w:r>
      <w:r>
        <w:rPr>
          <w:rFonts w:ascii="Arial" w:eastAsia="Arial" w:hAnsi="Arial" w:cs="Arial"/>
          <w:b/>
          <w:sz w:val="20"/>
          <w:szCs w:val="20"/>
        </w:rPr>
        <w:t xml:space="preserve">PROYECTOS ADJUDICADOS </w:t>
      </w:r>
      <w:r w:rsidRPr="008A220E">
        <w:rPr>
          <w:rFonts w:ascii="Arial" w:eastAsia="Arial" w:hAnsi="Arial" w:cs="Arial"/>
          <w:b/>
          <w:sz w:val="20"/>
          <w:szCs w:val="20"/>
        </w:rPr>
        <w:t>LÍNEA B.1)</w:t>
      </w: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1"/>
        <w:gridCol w:w="1125"/>
        <w:gridCol w:w="2235"/>
        <w:gridCol w:w="1273"/>
        <w:gridCol w:w="1495"/>
        <w:gridCol w:w="1199"/>
      </w:tblGrid>
      <w:tr w:rsidR="00484959" w:rsidRPr="008A220E" w:rsidTr="00066373">
        <w:trPr>
          <w:trHeight w:val="3865"/>
        </w:trPr>
        <w:tc>
          <w:tcPr>
            <w:tcW w:w="8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LLENAR DE ACUERDO A INDICACIONES DE NUMERAL 6.2 B DE LAS BASES</w:t>
            </w:r>
          </w:p>
          <w:p w:rsidR="00484959" w:rsidRPr="008A220E" w:rsidRDefault="0048495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Fármacos e insumos: se podrán financiar insumos médicos y veterinarios para los procedimientos de esterilización, tales como: medicamentos, anestésicos, antiinflamatorios, analgésicos, antibióticos*, soluciones de desinfección, jeringas, guantes estériles, suturas individuales y estériles, gasas, algodón, paños de campo, </w:t>
            </w:r>
            <w:proofErr w:type="spellStart"/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bránulas</w:t>
            </w:r>
            <w:proofErr w:type="spellEnd"/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, mariposas, agujas, bajadas de suero, sueros, hojas de bisturí, mascarillas, etc.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Lo anterior, en concordancia con la Guía de Protocolos Médicos y las buenas prácticas de la medicina veterinaria.</w:t>
            </w:r>
          </w:p>
          <w:p w:rsidR="00484959" w:rsidRPr="008A220E" w:rsidRDefault="0048495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*Los antibióticos deberán ser adquiridos de manera limitada, con la finalidad de evitar su aplicación profiláctica y con ello prevenir la resistencia a los antimicrobianos (se sugiere adquirir no más de 2 frascos por proyecto).</w:t>
            </w:r>
          </w:p>
        </w:tc>
        <w:bookmarkStart w:id="0" w:name="_GoBack"/>
        <w:bookmarkEnd w:id="0"/>
      </w:tr>
      <w:tr w:rsidR="00484959" w:rsidRPr="008A220E" w:rsidTr="00066373">
        <w:trPr>
          <w:trHeight w:val="825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Insumos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Unidad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Valor Unitario($)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Total ($)</w:t>
            </w:r>
          </w:p>
        </w:tc>
      </w:tr>
      <w:tr w:rsidR="00484959" w:rsidRPr="008A220E" w:rsidTr="00066373">
        <w:trPr>
          <w:trHeight w:val="1665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i/>
                <w:sz w:val="20"/>
                <w:szCs w:val="20"/>
              </w:rPr>
              <w:t>EJEMPLO: Anestésico inyectable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Frasco (unidad)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Ketamina</w:t>
            </w:r>
            <w:proofErr w:type="spellEnd"/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clorhidrato 111,56mg/ml, frasco de 50ml</w:t>
            </w:r>
          </w:p>
          <w:p w:rsidR="00484959" w:rsidRPr="008A220E" w:rsidRDefault="0048495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(KETAMIL)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$22.100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$22.100</w:t>
            </w:r>
          </w:p>
        </w:tc>
      </w:tr>
      <w:tr w:rsidR="00484959" w:rsidRPr="008A220E" w:rsidTr="00066373">
        <w:trPr>
          <w:trHeight w:val="30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84959" w:rsidRPr="008A220E" w:rsidTr="00066373">
        <w:trPr>
          <w:trHeight w:val="30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84959" w:rsidRPr="008A220E" w:rsidTr="00066373">
        <w:trPr>
          <w:trHeight w:val="30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84959" w:rsidRPr="008A220E" w:rsidTr="00066373">
        <w:trPr>
          <w:trHeight w:val="30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84959" w:rsidRPr="008A220E" w:rsidTr="00066373">
        <w:trPr>
          <w:trHeight w:val="30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84959" w:rsidRPr="008A220E" w:rsidTr="00066373">
        <w:trPr>
          <w:trHeight w:val="30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84959" w:rsidRPr="008A220E" w:rsidTr="00066373">
        <w:trPr>
          <w:trHeight w:val="30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84959" w:rsidRPr="008A220E" w:rsidTr="00066373">
        <w:trPr>
          <w:trHeight w:val="30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84959" w:rsidRPr="008A220E" w:rsidTr="00066373">
        <w:trPr>
          <w:trHeight w:val="30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84959" w:rsidRPr="008A220E" w:rsidTr="00066373">
        <w:trPr>
          <w:trHeight w:val="30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84959" w:rsidRPr="008A220E" w:rsidTr="00066373">
        <w:trPr>
          <w:trHeight w:val="30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84959" w:rsidRPr="008A220E" w:rsidTr="00066373">
        <w:trPr>
          <w:trHeight w:val="300"/>
        </w:trPr>
        <w:tc>
          <w:tcPr>
            <w:tcW w:w="763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IVA (19%)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</w:p>
        </w:tc>
      </w:tr>
      <w:tr w:rsidR="00484959" w:rsidRPr="008A220E" w:rsidTr="00066373">
        <w:trPr>
          <w:trHeight w:val="300"/>
        </w:trPr>
        <w:tc>
          <w:tcPr>
            <w:tcW w:w="763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</w:p>
        </w:tc>
      </w:tr>
      <w:tr w:rsidR="00484959" w:rsidRPr="008A220E" w:rsidTr="00066373">
        <w:trPr>
          <w:trHeight w:val="300"/>
        </w:trPr>
        <w:tc>
          <w:tcPr>
            <w:tcW w:w="763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Total General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</w:p>
        </w:tc>
      </w:tr>
    </w:tbl>
    <w:p w:rsidR="00484959" w:rsidRPr="008A220E" w:rsidRDefault="00484959" w:rsidP="00484959">
      <w:pPr>
        <w:spacing w:before="240" w:after="2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484959" w:rsidRPr="008A220E" w:rsidRDefault="00484959" w:rsidP="00484959">
      <w:pPr>
        <w:spacing w:before="240"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Responsabilidad</w:t>
      </w:r>
    </w:p>
    <w:p w:rsidR="00484959" w:rsidRPr="008A220E" w:rsidRDefault="00484959" w:rsidP="00484959">
      <w:pPr>
        <w:spacing w:before="240"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Los insumos y fármacos a utilizar deben estar en buenas condiciones de manejo y almacenamiento, los fármacos adquiridos no deben tener una fecha de vencimiento inferior a un año de la fecha de recepción y deben ser utilizados según las indicaciones de administración o aplicación del fabricante, según especie, dosis, vía de administración y otros; lo anterior, en concordancia con la Guía de Protocolos Médicos del PTRAC.</w:t>
      </w:r>
    </w:p>
    <w:p w:rsidR="00484959" w:rsidRPr="008A220E" w:rsidRDefault="00484959" w:rsidP="00484959">
      <w:pPr>
        <w:spacing w:before="240"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La contravención a esta obligación acarreará las responsabilidades y sanciones correspondientes. Asimismo, el incumplimiento grave de esta obligación faculta a la SUBDERE a dar término anticipado al convenio.</w:t>
      </w:r>
    </w:p>
    <w:p w:rsidR="00484959" w:rsidRPr="008A220E" w:rsidRDefault="00484959" w:rsidP="00484959">
      <w:pPr>
        <w:spacing w:after="240" w:line="276" w:lineRule="auto"/>
        <w:jc w:val="both"/>
        <w:rPr>
          <w:b/>
        </w:rPr>
      </w:pPr>
      <w:r w:rsidRPr="008A220E">
        <w:rPr>
          <w:b/>
        </w:rPr>
        <w:t>Datos Médico Veterinario (encargado técnico)</w:t>
      </w:r>
    </w:p>
    <w:p w:rsidR="00484959" w:rsidRPr="008A220E" w:rsidRDefault="00484959" w:rsidP="00484959">
      <w:pPr>
        <w:spacing w:after="240" w:line="276" w:lineRule="auto"/>
        <w:jc w:val="both"/>
        <w:rPr>
          <w:b/>
        </w:rPr>
      </w:pPr>
      <w:r w:rsidRPr="008A220E">
        <w:rPr>
          <w:b/>
        </w:rPr>
        <w:t xml:space="preserve"> </w:t>
      </w:r>
    </w:p>
    <w:p w:rsidR="00484959" w:rsidRPr="008A220E" w:rsidRDefault="00484959" w:rsidP="00484959">
      <w:pPr>
        <w:spacing w:after="240" w:line="276" w:lineRule="auto"/>
        <w:jc w:val="both"/>
        <w:rPr>
          <w:b/>
        </w:rPr>
      </w:pPr>
      <w:r w:rsidRPr="008A220E">
        <w:rPr>
          <w:b/>
        </w:rPr>
        <w:t xml:space="preserve"> </w:t>
      </w: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57"/>
        <w:gridCol w:w="1730"/>
        <w:gridCol w:w="975"/>
        <w:gridCol w:w="1936"/>
        <w:gridCol w:w="1049"/>
        <w:gridCol w:w="1891"/>
      </w:tblGrid>
      <w:tr w:rsidR="00484959" w:rsidRPr="008A220E" w:rsidTr="00066373">
        <w:trPr>
          <w:trHeight w:val="285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Firma: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Timbre: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4959" w:rsidRPr="008A220E" w:rsidRDefault="0048495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484959" w:rsidRPr="008A220E" w:rsidRDefault="00484959" w:rsidP="00484959">
      <w:pPr>
        <w:spacing w:before="240"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2E04C9" w:rsidRDefault="002E04C9"/>
    <w:sectPr w:rsidR="002E0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91" w:rsidRDefault="00C91D91" w:rsidP="00484959">
      <w:pPr>
        <w:spacing w:after="0" w:line="240" w:lineRule="auto"/>
      </w:pPr>
      <w:r>
        <w:separator/>
      </w:r>
    </w:p>
  </w:endnote>
  <w:endnote w:type="continuationSeparator" w:id="0">
    <w:p w:rsidR="00C91D91" w:rsidRDefault="00C91D91" w:rsidP="0048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87" w:rsidRDefault="00234E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87" w:rsidRDefault="00234E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87" w:rsidRDefault="00234E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91" w:rsidRDefault="00C91D91" w:rsidP="00484959">
      <w:pPr>
        <w:spacing w:after="0" w:line="240" w:lineRule="auto"/>
      </w:pPr>
      <w:r>
        <w:separator/>
      </w:r>
    </w:p>
  </w:footnote>
  <w:footnote w:type="continuationSeparator" w:id="0">
    <w:p w:rsidR="00C91D91" w:rsidRDefault="00C91D91" w:rsidP="0048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87" w:rsidRDefault="00234E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59" w:rsidRDefault="00484959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014FD28D" wp14:editId="6E4D1DF2">
          <wp:simplePos x="0" y="0"/>
          <wp:positionH relativeFrom="margin">
            <wp:align>right</wp:align>
          </wp:positionH>
          <wp:positionV relativeFrom="page">
            <wp:posOffset>8998</wp:posOffset>
          </wp:positionV>
          <wp:extent cx="1222248" cy="208788"/>
          <wp:effectExtent l="0" t="0" r="0" b="1270"/>
          <wp:wrapNone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208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87" w:rsidRDefault="00234E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59"/>
    <w:rsid w:val="00234E87"/>
    <w:rsid w:val="002E04C9"/>
    <w:rsid w:val="00484959"/>
    <w:rsid w:val="00C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959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49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959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4849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959"/>
    <w:rPr>
      <w:rFonts w:ascii="Calibri" w:eastAsia="Calibri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2024-09-26T13:59:00Z</dcterms:created>
  <dcterms:modified xsi:type="dcterms:W3CDTF">2024-09-26T13:59:00Z</dcterms:modified>
</cp:coreProperties>
</file>