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76" w:rsidRPr="008A220E" w:rsidRDefault="00AE6576" w:rsidP="00AE6576">
      <w:pPr>
        <w:spacing w:before="240" w:after="240" w:line="276" w:lineRule="auto"/>
        <w:jc w:val="center"/>
        <w:rPr>
          <w:rFonts w:ascii="Arial" w:eastAsia="Arial" w:hAnsi="Arial" w:cs="Arial"/>
          <w:b/>
          <w:sz w:val="20"/>
          <w:szCs w:val="20"/>
        </w:rPr>
      </w:pPr>
      <w:r w:rsidRPr="008A220E">
        <w:rPr>
          <w:rFonts w:ascii="Arial" w:eastAsia="Arial" w:hAnsi="Arial" w:cs="Arial"/>
          <w:b/>
          <w:sz w:val="20"/>
          <w:szCs w:val="20"/>
        </w:rPr>
        <w:t>ANEXO B.2.1 Desglose de Fármacos e insumos para Atención Veterinaria</w:t>
      </w:r>
    </w:p>
    <w:p w:rsidR="00AE6576" w:rsidRPr="008A220E" w:rsidRDefault="00AE6576" w:rsidP="00AE6576">
      <w:pPr>
        <w:spacing w:before="240" w:after="240" w:line="276" w:lineRule="auto"/>
        <w:jc w:val="center"/>
        <w:rPr>
          <w:rFonts w:ascii="Arial" w:eastAsia="Arial" w:hAnsi="Arial" w:cs="Arial"/>
          <w:b/>
          <w:sz w:val="20"/>
          <w:szCs w:val="20"/>
        </w:rPr>
      </w:pPr>
      <w:r w:rsidRPr="008A220E">
        <w:rPr>
          <w:rFonts w:ascii="Arial" w:eastAsia="Arial" w:hAnsi="Arial" w:cs="Arial"/>
          <w:b/>
          <w:sz w:val="20"/>
          <w:szCs w:val="20"/>
        </w:rPr>
        <w:t xml:space="preserve">(OBLIGATORIO PARA </w:t>
      </w:r>
      <w:r>
        <w:rPr>
          <w:rFonts w:ascii="Arial" w:eastAsia="Arial" w:hAnsi="Arial" w:cs="Arial"/>
          <w:b/>
          <w:sz w:val="20"/>
          <w:szCs w:val="20"/>
        </w:rPr>
        <w:t xml:space="preserve">PROYECTOS ADJUDICADOS </w:t>
      </w:r>
      <w:r w:rsidRPr="008A220E">
        <w:rPr>
          <w:rFonts w:ascii="Arial" w:eastAsia="Arial" w:hAnsi="Arial" w:cs="Arial"/>
          <w:b/>
          <w:sz w:val="20"/>
          <w:szCs w:val="20"/>
        </w:rPr>
        <w:t>LÍNEA B.2)</w:t>
      </w: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1746"/>
        <w:gridCol w:w="1576"/>
        <w:gridCol w:w="1829"/>
        <w:gridCol w:w="1182"/>
        <w:gridCol w:w="1351"/>
        <w:gridCol w:w="1154"/>
      </w:tblGrid>
      <w:tr w:rsidR="00AE6576" w:rsidRPr="008A220E" w:rsidTr="00066373">
        <w:trPr>
          <w:trHeight w:val="6416"/>
        </w:trPr>
        <w:tc>
          <w:tcPr>
            <w:tcW w:w="8837" w:type="dxa"/>
            <w:gridSpan w:val="6"/>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Fármacos e insumos: Se podrán financiar fármacos e insumos necesarios para dar atención médica de pacientes acorde a la cantidad de animales a intervenir como meta según prestación. Debe indicar a qué sub-ítem pertenece el insumo o fármaco, según la siguiente clasificación:</w:t>
            </w:r>
          </w:p>
          <w:p w:rsidR="00AE6576"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 xml:space="preserve">A) Diagnóstico y tratamiento: solución </w:t>
            </w:r>
            <w:proofErr w:type="spellStart"/>
            <w:r w:rsidRPr="008A220E">
              <w:rPr>
                <w:rFonts w:ascii="Arial" w:eastAsia="Arial" w:hAnsi="Arial" w:cs="Arial"/>
                <w:b/>
                <w:sz w:val="20"/>
                <w:szCs w:val="20"/>
              </w:rPr>
              <w:t>ótica</w:t>
            </w:r>
            <w:proofErr w:type="spellEnd"/>
            <w:r w:rsidRPr="008A220E">
              <w:rPr>
                <w:rFonts w:ascii="Arial" w:eastAsia="Arial" w:hAnsi="Arial" w:cs="Arial"/>
                <w:b/>
                <w:sz w:val="20"/>
                <w:szCs w:val="20"/>
              </w:rPr>
              <w:t xml:space="preserve">, solución oftálmica, antialérgicos, </w:t>
            </w:r>
            <w:proofErr w:type="spellStart"/>
            <w:r w:rsidRPr="008A220E">
              <w:rPr>
                <w:rFonts w:ascii="Arial" w:eastAsia="Arial" w:hAnsi="Arial" w:cs="Arial"/>
                <w:b/>
                <w:sz w:val="20"/>
                <w:szCs w:val="20"/>
              </w:rPr>
              <w:t>antifúngicos</w:t>
            </w:r>
            <w:proofErr w:type="spellEnd"/>
            <w:r w:rsidRPr="008A220E">
              <w:rPr>
                <w:rFonts w:ascii="Arial" w:eastAsia="Arial" w:hAnsi="Arial" w:cs="Arial"/>
                <w:b/>
                <w:sz w:val="20"/>
                <w:szCs w:val="20"/>
              </w:rPr>
              <w:t xml:space="preserve">, </w:t>
            </w:r>
            <w:proofErr w:type="spellStart"/>
            <w:r w:rsidRPr="008A220E">
              <w:rPr>
                <w:rFonts w:ascii="Arial" w:eastAsia="Arial" w:hAnsi="Arial" w:cs="Arial"/>
                <w:b/>
                <w:sz w:val="20"/>
                <w:szCs w:val="20"/>
              </w:rPr>
              <w:t>antisárnicos</w:t>
            </w:r>
            <w:proofErr w:type="spellEnd"/>
            <w:r w:rsidRPr="008A220E">
              <w:rPr>
                <w:rFonts w:ascii="Arial" w:eastAsia="Arial" w:hAnsi="Arial" w:cs="Arial"/>
                <w:b/>
                <w:sz w:val="20"/>
                <w:szCs w:val="20"/>
              </w:rPr>
              <w:t>, antibióticos, vitaminas, reactivos para exámenes u otros.</w:t>
            </w:r>
          </w:p>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B) Tratamientos preventivos sanitarios: vacunas antirrábicas, óctuple, triple felina, leucemia felina, antiparasitarios internos y antiparasitarios externos. Las cantidades deben ir acorde al número de animales a intervenir; por ejemplo: 30 vacunas antirrábicas, 5 triple felinas y 5 leucemia; antiparasitarios; para un total de 25 perros y 5 gatos.</w:t>
            </w:r>
          </w:p>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 xml:space="preserve">C) Cirugías: antiinflamatorios, analgésicos, corticoides, antibióticos, sueros, vendajes, collares isabelinos, </w:t>
            </w:r>
            <w:proofErr w:type="spellStart"/>
            <w:r w:rsidRPr="008A220E">
              <w:rPr>
                <w:rFonts w:ascii="Arial" w:eastAsia="Arial" w:hAnsi="Arial" w:cs="Arial"/>
                <w:b/>
                <w:sz w:val="20"/>
                <w:szCs w:val="20"/>
              </w:rPr>
              <w:t>bodys</w:t>
            </w:r>
            <w:proofErr w:type="spellEnd"/>
            <w:r w:rsidRPr="008A220E">
              <w:rPr>
                <w:rFonts w:ascii="Arial" w:eastAsia="Arial" w:hAnsi="Arial" w:cs="Arial"/>
                <w:b/>
                <w:sz w:val="20"/>
                <w:szCs w:val="20"/>
              </w:rPr>
              <w:t>-cobre u otros.</w:t>
            </w:r>
          </w:p>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Lo anterior, en concordancia con la Guía de Protocolos Médicos y las buenas prácticas de la medicina veterinaria.</w:t>
            </w:r>
          </w:p>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Todos los sub-ítems deberán contemplar el implante de microchip. La cantidad deberá ser acorde con la previa estimación de animales que requerirán este implante. En dicha estimación se deberá tener presente que una cantidad de animales ya tendrá microchip implantado con anterioridad.</w:t>
            </w:r>
          </w:p>
        </w:tc>
        <w:bookmarkStart w:id="0" w:name="_GoBack"/>
        <w:bookmarkEnd w:id="0"/>
      </w:tr>
      <w:tr w:rsidR="00AE6576" w:rsidRPr="008A220E" w:rsidTr="00066373">
        <w:trPr>
          <w:trHeight w:val="825"/>
        </w:trPr>
        <w:tc>
          <w:tcPr>
            <w:tcW w:w="1745" w:type="dxa"/>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Insumos</w:t>
            </w:r>
          </w:p>
        </w:tc>
        <w:tc>
          <w:tcPr>
            <w:tcW w:w="1576"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Unidad</w:t>
            </w:r>
          </w:p>
        </w:tc>
        <w:tc>
          <w:tcPr>
            <w:tcW w:w="1829"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Características</w:t>
            </w:r>
          </w:p>
        </w:tc>
        <w:tc>
          <w:tcPr>
            <w:tcW w:w="1182"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Cantidad</w:t>
            </w:r>
          </w:p>
        </w:tc>
        <w:tc>
          <w:tcPr>
            <w:tcW w:w="1351"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Valor Unitario($)</w:t>
            </w:r>
          </w:p>
        </w:tc>
        <w:tc>
          <w:tcPr>
            <w:tcW w:w="1154"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Valor</w:t>
            </w:r>
          </w:p>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Total ($)</w:t>
            </w:r>
          </w:p>
        </w:tc>
      </w:tr>
      <w:tr w:rsidR="00AE6576" w:rsidRPr="008A220E" w:rsidTr="00066373">
        <w:trPr>
          <w:trHeight w:val="1425"/>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i/>
                <w:sz w:val="20"/>
                <w:szCs w:val="20"/>
              </w:rPr>
            </w:pPr>
            <w:r w:rsidRPr="008A220E">
              <w:rPr>
                <w:rFonts w:ascii="Arial" w:eastAsia="Arial" w:hAnsi="Arial" w:cs="Arial"/>
                <w:b/>
                <w:i/>
                <w:sz w:val="20"/>
                <w:szCs w:val="20"/>
              </w:rPr>
              <w:t>EJEMPLO. Analgésico -antiinflamatorio en comprimidos</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Caja con 10 comprimidos-(unidad)</w:t>
            </w:r>
          </w:p>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 xml:space="preserve"> </w:t>
            </w: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proofErr w:type="spellStart"/>
            <w:r w:rsidRPr="008A220E">
              <w:rPr>
                <w:rFonts w:ascii="Arial" w:eastAsia="Arial" w:hAnsi="Arial" w:cs="Arial"/>
                <w:b/>
                <w:sz w:val="20"/>
                <w:szCs w:val="20"/>
              </w:rPr>
              <w:t>Ketoprofeno</w:t>
            </w:r>
            <w:proofErr w:type="spellEnd"/>
            <w:r w:rsidRPr="008A220E">
              <w:rPr>
                <w:rFonts w:ascii="Arial" w:eastAsia="Arial" w:hAnsi="Arial" w:cs="Arial"/>
                <w:b/>
                <w:sz w:val="20"/>
                <w:szCs w:val="20"/>
              </w:rPr>
              <w:t xml:space="preserve"> 10mg comprimido, (NAXPET)</w:t>
            </w: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1</w:t>
            </w: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$5.290</w:t>
            </w: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$5.290</w:t>
            </w:r>
          </w:p>
        </w:tc>
      </w:tr>
      <w:tr w:rsidR="00AE6576" w:rsidRPr="008A220E" w:rsidTr="00066373">
        <w:trPr>
          <w:trHeight w:val="855"/>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i/>
                <w:sz w:val="20"/>
                <w:szCs w:val="20"/>
              </w:rPr>
            </w:pPr>
            <w:r w:rsidRPr="008A220E">
              <w:rPr>
                <w:rFonts w:ascii="Arial" w:eastAsia="Arial" w:hAnsi="Arial" w:cs="Arial"/>
                <w:b/>
                <w:i/>
                <w:sz w:val="20"/>
                <w:szCs w:val="20"/>
              </w:rPr>
              <w:t>EJEMPLO. Vacunas antirrábicas</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Caja 1 frasco con 10 dosis (unidad)</w:t>
            </w: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Vacuna antirrábica</w:t>
            </w: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3</w:t>
            </w: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$10.133</w:t>
            </w: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$30.399</w:t>
            </w:r>
          </w:p>
        </w:tc>
      </w:tr>
      <w:tr w:rsidR="00AE6576" w:rsidRPr="008A220E" w:rsidTr="00066373">
        <w:trPr>
          <w:trHeight w:val="855"/>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i/>
                <w:sz w:val="20"/>
                <w:szCs w:val="20"/>
              </w:rPr>
            </w:pPr>
            <w:r w:rsidRPr="008A220E">
              <w:rPr>
                <w:rFonts w:ascii="Arial" w:eastAsia="Arial" w:hAnsi="Arial" w:cs="Arial"/>
                <w:b/>
                <w:i/>
                <w:sz w:val="20"/>
                <w:szCs w:val="20"/>
              </w:rPr>
              <w:t>EJEMPLO. Óctuple</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Caja 25 dosis (unidad)</w:t>
            </w: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Vacuna óctuple</w:t>
            </w: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1</w:t>
            </w: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$57.490</w:t>
            </w: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$57.490</w:t>
            </w:r>
          </w:p>
        </w:tc>
      </w:tr>
      <w:tr w:rsidR="00AE6576" w:rsidRPr="008A220E" w:rsidTr="00066373">
        <w:trPr>
          <w:trHeight w:val="1095"/>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i/>
                <w:sz w:val="20"/>
                <w:szCs w:val="20"/>
              </w:rPr>
            </w:pPr>
            <w:r w:rsidRPr="008A220E">
              <w:rPr>
                <w:rFonts w:ascii="Arial" w:eastAsia="Arial" w:hAnsi="Arial" w:cs="Arial"/>
                <w:b/>
                <w:i/>
                <w:sz w:val="20"/>
                <w:szCs w:val="20"/>
              </w:rPr>
              <w:lastRenderedPageBreak/>
              <w:t>EJEMPLO. Triple felina</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Caja con 5 dosis</w:t>
            </w:r>
            <w:r>
              <w:rPr>
                <w:rFonts w:ascii="Arial" w:eastAsia="Arial" w:hAnsi="Arial" w:cs="Arial"/>
                <w:b/>
                <w:sz w:val="20"/>
                <w:szCs w:val="20"/>
              </w:rPr>
              <w:t xml:space="preserve"> </w:t>
            </w:r>
            <w:r w:rsidRPr="008A220E">
              <w:rPr>
                <w:rFonts w:ascii="Arial" w:eastAsia="Arial" w:hAnsi="Arial" w:cs="Arial"/>
                <w:b/>
                <w:sz w:val="20"/>
                <w:szCs w:val="20"/>
              </w:rPr>
              <w:t>(unidad)</w:t>
            </w: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Vacuna triple felina</w:t>
            </w: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1</w:t>
            </w: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$15.456</w:t>
            </w: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$15.456</w:t>
            </w:r>
          </w:p>
        </w:tc>
      </w:tr>
      <w:tr w:rsidR="00AE6576" w:rsidRPr="008A220E" w:rsidTr="00066373">
        <w:trPr>
          <w:trHeight w:val="1140"/>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i/>
                <w:sz w:val="20"/>
                <w:szCs w:val="20"/>
              </w:rPr>
            </w:pPr>
            <w:r w:rsidRPr="008A220E">
              <w:rPr>
                <w:rFonts w:ascii="Arial" w:eastAsia="Arial" w:hAnsi="Arial" w:cs="Arial"/>
                <w:b/>
                <w:i/>
                <w:sz w:val="20"/>
                <w:szCs w:val="20"/>
              </w:rPr>
              <w:t>EJEMPLO. Leucemia felina</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Caja 1 frasco, con 1 dosis (unidad)</w:t>
            </w: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Vacuna leucemia felina</w:t>
            </w: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5</w:t>
            </w: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$4.194</w:t>
            </w: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$20.970</w:t>
            </w:r>
          </w:p>
        </w:tc>
      </w:tr>
      <w:tr w:rsidR="00AE6576" w:rsidRPr="008A220E" w:rsidTr="00066373">
        <w:trPr>
          <w:trHeight w:val="1095"/>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i/>
                <w:sz w:val="20"/>
                <w:szCs w:val="20"/>
              </w:rPr>
            </w:pPr>
            <w:r w:rsidRPr="008A220E">
              <w:rPr>
                <w:rFonts w:ascii="Arial" w:eastAsia="Arial" w:hAnsi="Arial" w:cs="Arial"/>
                <w:b/>
                <w:i/>
                <w:sz w:val="20"/>
                <w:szCs w:val="20"/>
              </w:rPr>
              <w:t>EJEMPLO. Antiparasitario interno</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Estuche 50 comprimidos</w:t>
            </w:r>
            <w:r>
              <w:rPr>
                <w:rFonts w:ascii="Arial" w:eastAsia="Arial" w:hAnsi="Arial" w:cs="Arial"/>
                <w:b/>
                <w:sz w:val="20"/>
                <w:szCs w:val="20"/>
              </w:rPr>
              <w:t xml:space="preserve"> </w:t>
            </w:r>
            <w:r w:rsidRPr="008A220E">
              <w:rPr>
                <w:rFonts w:ascii="Arial" w:eastAsia="Arial" w:hAnsi="Arial" w:cs="Arial"/>
                <w:b/>
                <w:sz w:val="20"/>
                <w:szCs w:val="20"/>
              </w:rPr>
              <w:t>(unidad)</w:t>
            </w: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Antiparasitario interno (</w:t>
            </w:r>
            <w:proofErr w:type="spellStart"/>
            <w:r w:rsidRPr="008A220E">
              <w:rPr>
                <w:rFonts w:ascii="Arial" w:eastAsia="Arial" w:hAnsi="Arial" w:cs="Arial"/>
                <w:b/>
                <w:sz w:val="20"/>
                <w:szCs w:val="20"/>
              </w:rPr>
              <w:t>Mebermic</w:t>
            </w:r>
            <w:proofErr w:type="spellEnd"/>
            <w:r w:rsidRPr="008A220E">
              <w:rPr>
                <w:rFonts w:ascii="Arial" w:eastAsia="Arial" w:hAnsi="Arial" w:cs="Arial"/>
                <w:b/>
                <w:sz w:val="20"/>
                <w:szCs w:val="20"/>
              </w:rPr>
              <w:t>)</w:t>
            </w: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2</w:t>
            </w: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$33.990</w:t>
            </w: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$67.800</w:t>
            </w:r>
          </w:p>
        </w:tc>
      </w:tr>
      <w:tr w:rsidR="00AE6576" w:rsidRPr="008A220E" w:rsidTr="00066373">
        <w:trPr>
          <w:trHeight w:val="1140"/>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i/>
                <w:sz w:val="20"/>
                <w:szCs w:val="20"/>
              </w:rPr>
            </w:pPr>
            <w:r w:rsidRPr="008A220E">
              <w:rPr>
                <w:rFonts w:ascii="Arial" w:eastAsia="Arial" w:hAnsi="Arial" w:cs="Arial"/>
                <w:b/>
                <w:i/>
                <w:sz w:val="20"/>
                <w:szCs w:val="20"/>
              </w:rPr>
              <w:t>EJEMPLO. Antiparasitario externo</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Botella (unidad)</w:t>
            </w: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FIPRONIL 0.25% SPRAY 250ML (</w:t>
            </w:r>
            <w:proofErr w:type="spellStart"/>
            <w:r w:rsidRPr="008A220E">
              <w:rPr>
                <w:rFonts w:ascii="Arial" w:eastAsia="Arial" w:hAnsi="Arial" w:cs="Arial"/>
                <w:b/>
                <w:sz w:val="20"/>
                <w:szCs w:val="20"/>
              </w:rPr>
              <w:t>Fipronil</w:t>
            </w:r>
            <w:proofErr w:type="spellEnd"/>
            <w:r w:rsidRPr="008A220E">
              <w:rPr>
                <w:rFonts w:ascii="Arial" w:eastAsia="Arial" w:hAnsi="Arial" w:cs="Arial"/>
                <w:b/>
                <w:sz w:val="20"/>
                <w:szCs w:val="20"/>
              </w:rPr>
              <w:t>)</w:t>
            </w: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8</w:t>
            </w: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$16.085</w:t>
            </w: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$128.680</w:t>
            </w:r>
          </w:p>
        </w:tc>
      </w:tr>
      <w:tr w:rsidR="00AE6576" w:rsidRPr="008A220E" w:rsidTr="00066373">
        <w:trPr>
          <w:trHeight w:val="855"/>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i/>
                <w:sz w:val="20"/>
                <w:szCs w:val="20"/>
              </w:rPr>
            </w:pPr>
            <w:r w:rsidRPr="008A220E">
              <w:rPr>
                <w:rFonts w:ascii="Arial" w:eastAsia="Arial" w:hAnsi="Arial" w:cs="Arial"/>
                <w:b/>
                <w:i/>
                <w:sz w:val="20"/>
                <w:szCs w:val="20"/>
              </w:rPr>
              <w:t>EJEMPLO. Venda</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Caja con 4 rollos (unidad)</w:t>
            </w: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 xml:space="preserve">Venda </w:t>
            </w:r>
            <w:proofErr w:type="spellStart"/>
            <w:r w:rsidRPr="008A220E">
              <w:rPr>
                <w:rFonts w:ascii="Arial" w:eastAsia="Arial" w:hAnsi="Arial" w:cs="Arial"/>
                <w:b/>
                <w:sz w:val="20"/>
                <w:szCs w:val="20"/>
              </w:rPr>
              <w:t>autoadherente</w:t>
            </w:r>
            <w:proofErr w:type="spellEnd"/>
            <w:r w:rsidRPr="008A220E">
              <w:rPr>
                <w:rFonts w:ascii="Arial" w:eastAsia="Arial" w:hAnsi="Arial" w:cs="Arial"/>
                <w:b/>
                <w:sz w:val="20"/>
                <w:szCs w:val="20"/>
              </w:rPr>
              <w:t xml:space="preserve"> tipo </w:t>
            </w:r>
            <w:proofErr w:type="spellStart"/>
            <w:r w:rsidRPr="008A220E">
              <w:rPr>
                <w:rFonts w:ascii="Arial" w:eastAsia="Arial" w:hAnsi="Arial" w:cs="Arial"/>
                <w:b/>
                <w:sz w:val="20"/>
                <w:szCs w:val="20"/>
              </w:rPr>
              <w:t>Coban</w:t>
            </w:r>
            <w:proofErr w:type="spellEnd"/>
            <w:r w:rsidRPr="008A220E">
              <w:rPr>
                <w:rFonts w:ascii="Arial" w:eastAsia="Arial" w:hAnsi="Arial" w:cs="Arial"/>
                <w:b/>
                <w:sz w:val="20"/>
                <w:szCs w:val="20"/>
              </w:rPr>
              <w:t>, 4</w:t>
            </w: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3</w:t>
            </w: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$2.601</w:t>
            </w: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$7.803</w:t>
            </w:r>
          </w:p>
        </w:tc>
      </w:tr>
      <w:tr w:rsidR="00AE6576" w:rsidRPr="008A220E" w:rsidTr="00066373">
        <w:trPr>
          <w:trHeight w:val="300"/>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r>
      <w:tr w:rsidR="00AE6576" w:rsidRPr="008A220E" w:rsidTr="00066373">
        <w:trPr>
          <w:trHeight w:val="300"/>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r>
      <w:tr w:rsidR="00AE6576" w:rsidRPr="008A220E" w:rsidTr="00066373">
        <w:trPr>
          <w:trHeight w:val="300"/>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r>
      <w:tr w:rsidR="00AE6576" w:rsidRPr="008A220E" w:rsidTr="00066373">
        <w:trPr>
          <w:trHeight w:val="300"/>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r>
      <w:tr w:rsidR="00AE6576" w:rsidRPr="008A220E" w:rsidTr="00066373">
        <w:trPr>
          <w:trHeight w:val="300"/>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r>
      <w:tr w:rsidR="00AE6576" w:rsidRPr="008A220E" w:rsidTr="00066373">
        <w:trPr>
          <w:trHeight w:val="300"/>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r>
      <w:tr w:rsidR="00AE6576" w:rsidRPr="008A220E" w:rsidTr="00066373">
        <w:trPr>
          <w:trHeight w:val="300"/>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p>
        </w:tc>
      </w:tr>
      <w:tr w:rsidR="00AE6576" w:rsidRPr="008A220E" w:rsidTr="00066373">
        <w:trPr>
          <w:trHeight w:val="300"/>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r>
      <w:tr w:rsidR="00AE6576" w:rsidRPr="008A220E" w:rsidTr="00066373">
        <w:trPr>
          <w:trHeight w:val="300"/>
        </w:trPr>
        <w:tc>
          <w:tcPr>
            <w:tcW w:w="17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8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8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3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c>
          <w:tcPr>
            <w:tcW w:w="115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 xml:space="preserve"> </w:t>
            </w:r>
          </w:p>
        </w:tc>
      </w:tr>
      <w:tr w:rsidR="00AE6576" w:rsidRPr="008A220E" w:rsidTr="00066373">
        <w:trPr>
          <w:trHeight w:val="300"/>
        </w:trPr>
        <w:tc>
          <w:tcPr>
            <w:tcW w:w="7683" w:type="dxa"/>
            <w:gridSpan w:val="5"/>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IVA (19%)</w:t>
            </w:r>
          </w:p>
        </w:tc>
        <w:tc>
          <w:tcPr>
            <w:tcW w:w="1154"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w:t>
            </w:r>
          </w:p>
        </w:tc>
      </w:tr>
      <w:tr w:rsidR="00AE6576" w:rsidRPr="008A220E" w:rsidTr="00066373">
        <w:trPr>
          <w:trHeight w:val="300"/>
        </w:trPr>
        <w:tc>
          <w:tcPr>
            <w:tcW w:w="7683" w:type="dxa"/>
            <w:gridSpan w:val="5"/>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Subtotal</w:t>
            </w:r>
          </w:p>
        </w:tc>
        <w:tc>
          <w:tcPr>
            <w:tcW w:w="1154"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w:t>
            </w:r>
          </w:p>
        </w:tc>
      </w:tr>
      <w:tr w:rsidR="00AE6576" w:rsidRPr="008A220E" w:rsidTr="00066373">
        <w:trPr>
          <w:trHeight w:val="300"/>
        </w:trPr>
        <w:tc>
          <w:tcPr>
            <w:tcW w:w="7683" w:type="dxa"/>
            <w:gridSpan w:val="5"/>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Total General</w:t>
            </w:r>
          </w:p>
        </w:tc>
        <w:tc>
          <w:tcPr>
            <w:tcW w:w="1154"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rsidR="00AE6576" w:rsidRPr="008A220E" w:rsidRDefault="00AE6576" w:rsidP="00066373">
            <w:pPr>
              <w:spacing w:before="240" w:after="0" w:line="276" w:lineRule="auto"/>
              <w:jc w:val="center"/>
              <w:rPr>
                <w:rFonts w:ascii="Arial" w:eastAsia="Arial" w:hAnsi="Arial" w:cs="Arial"/>
                <w:b/>
                <w:sz w:val="20"/>
                <w:szCs w:val="20"/>
              </w:rPr>
            </w:pPr>
            <w:r w:rsidRPr="008A220E">
              <w:rPr>
                <w:rFonts w:ascii="Arial" w:eastAsia="Arial" w:hAnsi="Arial" w:cs="Arial"/>
                <w:b/>
                <w:sz w:val="20"/>
                <w:szCs w:val="20"/>
              </w:rPr>
              <w:t>$</w:t>
            </w:r>
          </w:p>
        </w:tc>
      </w:tr>
    </w:tbl>
    <w:p w:rsidR="00AE6576" w:rsidRPr="008A220E" w:rsidRDefault="00AE6576" w:rsidP="00AE6576">
      <w:pPr>
        <w:spacing w:after="240" w:line="276" w:lineRule="auto"/>
        <w:jc w:val="both"/>
        <w:rPr>
          <w:rFonts w:ascii="Arial" w:eastAsia="Arial" w:hAnsi="Arial" w:cs="Arial"/>
          <w:b/>
        </w:rPr>
      </w:pPr>
      <w:r w:rsidRPr="008A220E">
        <w:rPr>
          <w:rFonts w:ascii="Arial" w:eastAsia="Arial" w:hAnsi="Arial" w:cs="Arial"/>
          <w:b/>
        </w:rPr>
        <w:t xml:space="preserve"> </w:t>
      </w:r>
    </w:p>
    <w:p w:rsidR="00AE6576" w:rsidRPr="008A220E" w:rsidRDefault="00AE6576" w:rsidP="00AE6576">
      <w:pPr>
        <w:spacing w:after="240" w:line="276" w:lineRule="auto"/>
        <w:jc w:val="both"/>
        <w:rPr>
          <w:rFonts w:ascii="Arial" w:eastAsia="Arial" w:hAnsi="Arial" w:cs="Arial"/>
          <w:b/>
        </w:rPr>
      </w:pPr>
    </w:p>
    <w:p w:rsidR="00AE6576" w:rsidRPr="008A220E" w:rsidRDefault="00AE6576" w:rsidP="00AE6576">
      <w:pPr>
        <w:spacing w:after="240" w:line="276" w:lineRule="auto"/>
        <w:jc w:val="both"/>
        <w:rPr>
          <w:rFonts w:ascii="Arial" w:eastAsia="Arial" w:hAnsi="Arial" w:cs="Arial"/>
          <w:b/>
        </w:rPr>
      </w:pPr>
      <w:r w:rsidRPr="008A220E">
        <w:rPr>
          <w:rFonts w:ascii="Arial" w:eastAsia="Arial" w:hAnsi="Arial" w:cs="Arial"/>
          <w:b/>
        </w:rPr>
        <w:lastRenderedPageBreak/>
        <w:t>Responsabilidad</w:t>
      </w:r>
    </w:p>
    <w:p w:rsidR="00AE6576" w:rsidRPr="008A220E" w:rsidRDefault="00AE6576" w:rsidP="00AE6576">
      <w:pPr>
        <w:spacing w:after="240" w:line="276" w:lineRule="auto"/>
        <w:jc w:val="both"/>
        <w:rPr>
          <w:rFonts w:ascii="Arial" w:eastAsia="Arial" w:hAnsi="Arial" w:cs="Arial"/>
          <w:b/>
        </w:rPr>
      </w:pPr>
      <w:r w:rsidRPr="008A220E">
        <w:rPr>
          <w:rFonts w:ascii="Arial" w:eastAsia="Arial" w:hAnsi="Arial" w:cs="Arial"/>
          <w:b/>
        </w:rPr>
        <w:t>Los insumos y fármacos a utilizar deben estar en buenas condiciones de manejo y almacenamiento, los fármacos adquiridos no deben tener una fecha de vencimiento inferior a un año de la fecha de recepción y deben ser utilizados según las indicaciones de administración o aplicación del fabricante, según especie, dosis, vía de administración y otros; lo anterior, en concordancia con la Guía de Protocolos Médicos del PTRAC.</w:t>
      </w:r>
    </w:p>
    <w:p w:rsidR="00AE6576" w:rsidRDefault="00AE6576" w:rsidP="00AE6576">
      <w:pPr>
        <w:spacing w:after="240" w:line="276" w:lineRule="auto"/>
        <w:jc w:val="both"/>
        <w:rPr>
          <w:rFonts w:ascii="Arial" w:eastAsia="Arial" w:hAnsi="Arial" w:cs="Arial"/>
          <w:b/>
        </w:rPr>
      </w:pPr>
    </w:p>
    <w:p w:rsidR="00AE6576" w:rsidRDefault="00AE6576" w:rsidP="00AE6576">
      <w:pPr>
        <w:spacing w:after="240" w:line="276" w:lineRule="auto"/>
        <w:jc w:val="both"/>
        <w:rPr>
          <w:rFonts w:ascii="Arial" w:eastAsia="Arial" w:hAnsi="Arial" w:cs="Arial"/>
          <w:b/>
        </w:rPr>
      </w:pPr>
      <w:r w:rsidRPr="008A220E">
        <w:rPr>
          <w:rFonts w:ascii="Arial" w:eastAsia="Arial" w:hAnsi="Arial" w:cs="Arial"/>
          <w:b/>
        </w:rPr>
        <w:t>La contravención a esta obligación acarreará las responsabilidades y sanciones correspondientes. Asimismo, el incumplimiento grave de esta obligación faculta a la SUBDERE a dar término anticipado al convenio.</w:t>
      </w:r>
    </w:p>
    <w:p w:rsidR="00AE6576" w:rsidRDefault="00AE6576" w:rsidP="00AE6576">
      <w:pPr>
        <w:spacing w:after="240" w:line="276" w:lineRule="auto"/>
        <w:jc w:val="both"/>
        <w:rPr>
          <w:rFonts w:ascii="Arial" w:eastAsia="Arial" w:hAnsi="Arial" w:cs="Arial"/>
          <w:b/>
        </w:rPr>
      </w:pPr>
    </w:p>
    <w:p w:rsidR="00AE6576" w:rsidRDefault="00AE6576" w:rsidP="00AE6576">
      <w:pPr>
        <w:spacing w:after="240" w:line="276" w:lineRule="auto"/>
        <w:jc w:val="both"/>
        <w:rPr>
          <w:rFonts w:ascii="Arial" w:eastAsia="Arial" w:hAnsi="Arial" w:cs="Arial"/>
          <w:b/>
        </w:rPr>
      </w:pPr>
    </w:p>
    <w:p w:rsidR="00AE6576" w:rsidRPr="008A220E" w:rsidRDefault="00AE6576" w:rsidP="00AE6576">
      <w:pPr>
        <w:spacing w:after="240" w:line="276" w:lineRule="auto"/>
        <w:jc w:val="both"/>
        <w:rPr>
          <w:rFonts w:ascii="Arial" w:eastAsia="Arial" w:hAnsi="Arial" w:cs="Arial"/>
          <w:b/>
        </w:rPr>
      </w:pPr>
    </w:p>
    <w:p w:rsidR="00AE6576" w:rsidRPr="008A220E" w:rsidRDefault="00AE6576" w:rsidP="00AE6576">
      <w:pPr>
        <w:spacing w:after="240" w:line="276" w:lineRule="auto"/>
        <w:jc w:val="both"/>
        <w:rPr>
          <w:rFonts w:ascii="Arial" w:eastAsia="Arial" w:hAnsi="Arial" w:cs="Arial"/>
          <w:b/>
        </w:rPr>
      </w:pPr>
      <w:r w:rsidRPr="008A220E">
        <w:rPr>
          <w:rFonts w:ascii="Arial" w:eastAsia="Arial" w:hAnsi="Arial" w:cs="Arial"/>
          <w:b/>
        </w:rPr>
        <w:t>Datos Médico Veterinario (encargado técnico)</w:t>
      </w:r>
    </w:p>
    <w:p w:rsidR="00AE6576" w:rsidRPr="008A220E" w:rsidRDefault="00AE6576" w:rsidP="00AE6576">
      <w:pPr>
        <w:spacing w:after="240" w:line="276" w:lineRule="auto"/>
        <w:jc w:val="both"/>
        <w:rPr>
          <w:b/>
        </w:rPr>
      </w:pPr>
      <w:r w:rsidRPr="008A220E">
        <w:rPr>
          <w:b/>
        </w:rPr>
        <w:t xml:space="preserve"> </w:t>
      </w: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1257"/>
        <w:gridCol w:w="1730"/>
        <w:gridCol w:w="975"/>
        <w:gridCol w:w="1936"/>
        <w:gridCol w:w="1049"/>
        <w:gridCol w:w="1891"/>
      </w:tblGrid>
      <w:tr w:rsidR="00AE6576" w:rsidRPr="008A220E" w:rsidTr="00066373">
        <w:trPr>
          <w:trHeight w:val="285"/>
        </w:trPr>
        <w:tc>
          <w:tcPr>
            <w:tcW w:w="1257" w:type="dxa"/>
            <w:tcBorders>
              <w:top w:val="nil"/>
              <w:left w:val="nil"/>
              <w:bottom w:val="nil"/>
              <w:right w:val="nil"/>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Nombre:</w:t>
            </w:r>
          </w:p>
        </w:tc>
        <w:tc>
          <w:tcPr>
            <w:tcW w:w="1730" w:type="dxa"/>
            <w:tcBorders>
              <w:top w:val="nil"/>
              <w:left w:val="nil"/>
              <w:bottom w:val="single" w:sz="8" w:space="0" w:color="000000"/>
              <w:right w:val="nil"/>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 xml:space="preserve"> </w:t>
            </w:r>
          </w:p>
        </w:tc>
        <w:tc>
          <w:tcPr>
            <w:tcW w:w="975" w:type="dxa"/>
            <w:tcBorders>
              <w:top w:val="nil"/>
              <w:left w:val="nil"/>
              <w:bottom w:val="nil"/>
              <w:right w:val="nil"/>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Firma:</w:t>
            </w:r>
          </w:p>
        </w:tc>
        <w:tc>
          <w:tcPr>
            <w:tcW w:w="1936" w:type="dxa"/>
            <w:tcBorders>
              <w:top w:val="nil"/>
              <w:left w:val="nil"/>
              <w:bottom w:val="single" w:sz="8" w:space="0" w:color="000000"/>
              <w:right w:val="nil"/>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 xml:space="preserve"> </w:t>
            </w:r>
          </w:p>
        </w:tc>
        <w:tc>
          <w:tcPr>
            <w:tcW w:w="1049" w:type="dxa"/>
            <w:tcBorders>
              <w:top w:val="nil"/>
              <w:left w:val="nil"/>
              <w:bottom w:val="nil"/>
              <w:right w:val="nil"/>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Timbre:</w:t>
            </w:r>
          </w:p>
        </w:tc>
        <w:tc>
          <w:tcPr>
            <w:tcW w:w="1891" w:type="dxa"/>
            <w:tcBorders>
              <w:top w:val="nil"/>
              <w:left w:val="nil"/>
              <w:bottom w:val="single" w:sz="8" w:space="0" w:color="000000"/>
              <w:right w:val="nil"/>
            </w:tcBorders>
            <w:shd w:val="clear" w:color="auto" w:fill="auto"/>
            <w:tcMar>
              <w:top w:w="0" w:type="dxa"/>
              <w:left w:w="100" w:type="dxa"/>
              <w:bottom w:w="0" w:type="dxa"/>
              <w:right w:w="100" w:type="dxa"/>
            </w:tcMar>
          </w:tcPr>
          <w:p w:rsidR="00AE6576" w:rsidRPr="008A220E" w:rsidRDefault="00AE6576" w:rsidP="00066373">
            <w:pPr>
              <w:spacing w:before="240" w:after="0" w:line="276" w:lineRule="auto"/>
              <w:jc w:val="both"/>
              <w:rPr>
                <w:rFonts w:ascii="Arial" w:eastAsia="Arial" w:hAnsi="Arial" w:cs="Arial"/>
                <w:b/>
                <w:sz w:val="20"/>
                <w:szCs w:val="20"/>
              </w:rPr>
            </w:pPr>
            <w:r w:rsidRPr="008A220E">
              <w:rPr>
                <w:rFonts w:ascii="Arial" w:eastAsia="Arial" w:hAnsi="Arial" w:cs="Arial"/>
                <w:b/>
                <w:sz w:val="20"/>
                <w:szCs w:val="20"/>
              </w:rPr>
              <w:t xml:space="preserve"> </w:t>
            </w:r>
          </w:p>
        </w:tc>
      </w:tr>
    </w:tbl>
    <w:p w:rsidR="00AE6576" w:rsidRPr="008A220E" w:rsidRDefault="00AE6576" w:rsidP="00AE6576">
      <w:pPr>
        <w:spacing w:before="240" w:after="240" w:line="276" w:lineRule="auto"/>
        <w:jc w:val="center"/>
        <w:rPr>
          <w:rFonts w:ascii="Arial" w:eastAsia="Arial" w:hAnsi="Arial" w:cs="Arial"/>
          <w:b/>
          <w:sz w:val="20"/>
          <w:szCs w:val="20"/>
        </w:rPr>
      </w:pPr>
    </w:p>
    <w:p w:rsidR="00AE6576" w:rsidRPr="008A220E" w:rsidRDefault="00AE6576" w:rsidP="00AE6576">
      <w:pPr>
        <w:spacing w:before="240" w:after="240" w:line="276" w:lineRule="auto"/>
        <w:jc w:val="center"/>
        <w:rPr>
          <w:rFonts w:ascii="Arial" w:eastAsia="Arial" w:hAnsi="Arial" w:cs="Arial"/>
          <w:b/>
          <w:sz w:val="20"/>
          <w:szCs w:val="20"/>
        </w:rPr>
      </w:pPr>
    </w:p>
    <w:p w:rsidR="00AE6576" w:rsidRPr="008A220E" w:rsidRDefault="00AE6576" w:rsidP="00AE6576">
      <w:pPr>
        <w:spacing w:before="240" w:after="240" w:line="276" w:lineRule="auto"/>
        <w:jc w:val="center"/>
        <w:rPr>
          <w:rFonts w:ascii="Arial" w:eastAsia="Arial" w:hAnsi="Arial" w:cs="Arial"/>
          <w:b/>
          <w:sz w:val="20"/>
          <w:szCs w:val="20"/>
        </w:rPr>
      </w:pPr>
    </w:p>
    <w:p w:rsidR="002E04C9" w:rsidRDefault="002E04C9"/>
    <w:sectPr w:rsidR="002E04C9">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0E4" w:rsidRDefault="000800E4" w:rsidP="00AE6576">
      <w:pPr>
        <w:spacing w:after="0" w:line="240" w:lineRule="auto"/>
      </w:pPr>
      <w:r>
        <w:separator/>
      </w:r>
    </w:p>
  </w:endnote>
  <w:endnote w:type="continuationSeparator" w:id="0">
    <w:p w:rsidR="000800E4" w:rsidRDefault="000800E4" w:rsidP="00AE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D6" w:rsidRDefault="008142D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D6" w:rsidRDefault="008142D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D6" w:rsidRDefault="008142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0E4" w:rsidRDefault="000800E4" w:rsidP="00AE6576">
      <w:pPr>
        <w:spacing w:after="0" w:line="240" w:lineRule="auto"/>
      </w:pPr>
      <w:r>
        <w:separator/>
      </w:r>
    </w:p>
  </w:footnote>
  <w:footnote w:type="continuationSeparator" w:id="0">
    <w:p w:rsidR="000800E4" w:rsidRDefault="000800E4" w:rsidP="00AE6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D6" w:rsidRDefault="008142D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76" w:rsidRDefault="00AE6576">
    <w:pPr>
      <w:pStyle w:val="Encabezado"/>
    </w:pPr>
    <w:r>
      <w:rPr>
        <w:noProof/>
      </w:rPr>
      <w:drawing>
        <wp:anchor distT="0" distB="0" distL="0" distR="0" simplePos="0" relativeHeight="251659264" behindDoc="1" locked="0" layoutInCell="1" allowOverlap="1" wp14:anchorId="4137BA03" wp14:editId="11E7E7D9">
          <wp:simplePos x="0" y="0"/>
          <wp:positionH relativeFrom="margin">
            <wp:align>right</wp:align>
          </wp:positionH>
          <wp:positionV relativeFrom="page">
            <wp:posOffset>8997</wp:posOffset>
          </wp:positionV>
          <wp:extent cx="1222248" cy="208788"/>
          <wp:effectExtent l="0" t="0" r="0" b="127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 cstate="print"/>
                  <a:stretch>
                    <a:fillRect/>
                  </a:stretch>
                </pic:blipFill>
                <pic:spPr>
                  <a:xfrm>
                    <a:off x="0" y="0"/>
                    <a:ext cx="1222248" cy="20878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D6" w:rsidRDefault="008142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76"/>
    <w:rsid w:val="000800E4"/>
    <w:rsid w:val="002E04C9"/>
    <w:rsid w:val="008142D6"/>
    <w:rsid w:val="00AE65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76"/>
    <w:rPr>
      <w:rFonts w:ascii="Calibri" w:eastAsia="Calibri" w:hAnsi="Calibri" w:cs="Calibri"/>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65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6576"/>
    <w:rPr>
      <w:rFonts w:ascii="Calibri" w:eastAsia="Calibri" w:hAnsi="Calibri" w:cs="Calibri"/>
      <w:lang w:eastAsia="es-CL"/>
    </w:rPr>
  </w:style>
  <w:style w:type="paragraph" w:styleId="Piedepgina">
    <w:name w:val="footer"/>
    <w:basedOn w:val="Normal"/>
    <w:link w:val="PiedepginaCar"/>
    <w:uiPriority w:val="99"/>
    <w:unhideWhenUsed/>
    <w:rsid w:val="00AE65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6576"/>
    <w:rPr>
      <w:rFonts w:ascii="Calibri" w:eastAsia="Calibri" w:hAnsi="Calibri" w:cs="Calibri"/>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2722</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2024-09-26T13:55:00Z</dcterms:created>
  <dcterms:modified xsi:type="dcterms:W3CDTF">2024-09-26T13:55:00Z</dcterms:modified>
</cp:coreProperties>
</file>